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70612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5FA2D0D0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5785DEB0">
      <w:pPr>
        <w:pStyle w:val="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</w:rPr>
        <w:t>《</w:t>
      </w:r>
      <w:r>
        <w:rPr>
          <w:rFonts w:hint="eastAsia" w:ascii="微软简老宋" w:hAnsi="微软简老宋" w:cs="微软简老宋" w:eastAsiaTheme="minorEastAsia"/>
          <w:color w:val="FFFFFF" w:themeColor="background1"/>
          <w:sz w:val="84"/>
          <w:szCs w:val="84"/>
        </w:rPr>
        <w:t>人体解剖与组织胚胎学</w:t>
      </w: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</w:rPr>
        <w:t>》</w:t>
      </w:r>
    </w:p>
    <w:p w14:paraId="731011FC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（第二版）</w:t>
      </w:r>
    </w:p>
    <w:p w14:paraId="038044A2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6D54F9B2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0CFE9AB5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30"/>
          <w:szCs w:val="30"/>
        </w:rPr>
      </w:pPr>
    </w:p>
    <w:p w14:paraId="0FB78B38">
      <w:pPr>
        <w:keepNext/>
        <w:keepLines/>
        <w:spacing w:before="260" w:after="260"/>
        <w:jc w:val="center"/>
        <w:outlineLvl w:val="1"/>
        <w:rPr>
          <w:rFonts w:hint="eastAsia" w:ascii="Times New Roman" w:hAnsi="Times New Roman"/>
          <w:b/>
          <w:bCs/>
          <w:sz w:val="30"/>
          <w:szCs w:val="30"/>
        </w:rPr>
      </w:pPr>
    </w:p>
    <w:p w14:paraId="3C2ED9E1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  <w:r>
        <w:rPr>
          <w:rFonts w:hint="eastAsia" w:ascii="Times New Roman" w:hAnsi="Times New Roman"/>
          <w:b/>
          <w:bCs/>
          <w:sz w:val="30"/>
          <w:szCs w:val="30"/>
        </w:rPr>
        <w:t>中南大学出版社</w:t>
      </w:r>
    </w:p>
    <w:p w14:paraId="05342F46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7B2CF03C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6BD7EC54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52"/>
          <w:szCs w:val="52"/>
        </w:rPr>
      </w:pPr>
    </w:p>
    <w:p w14:paraId="0FFD11E7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48D7173F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3B6DDF3D">
      <w:pPr>
        <w:keepNext/>
        <w:keepLines/>
        <w:spacing w:before="260" w:after="26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778966B1">
      <w:pPr>
        <w:keepNext/>
        <w:keepLines/>
        <w:spacing w:before="260" w:after="260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01A66F5B">
      <w:pPr>
        <w:keepNext/>
        <w:keepLines/>
        <w:spacing w:before="260" w:after="260"/>
        <w:outlineLvl w:val="1"/>
        <w:rPr>
          <w:rFonts w:ascii="Times New Roman" w:hAnsi="Times New Roman"/>
          <w:b/>
          <w:bCs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0" w:right="170" w:bottom="0" w:left="170" w:header="567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6203D5CE">
      <w:pPr>
        <w:pStyle w:val="2"/>
        <w:bidi w:val="0"/>
        <w:jc w:val="center"/>
      </w:pPr>
      <w:r>
        <w:rPr>
          <w:rFonts w:hint="eastAsia"/>
        </w:rPr>
        <w:t>课时分配表</w:t>
      </w:r>
    </w:p>
    <w:p w14:paraId="5D33E3DE"/>
    <w:tbl>
      <w:tblPr>
        <w:tblStyle w:val="12"/>
        <w:tblW w:w="10205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8" w:space="0"/>
          <w:insideV w:val="single" w:color="00B0F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5269"/>
        <w:gridCol w:w="1735"/>
        <w:gridCol w:w="2025"/>
      </w:tblGrid>
      <w:tr w14:paraId="37522DE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5B9BD5" w:themeFill="accent1"/>
            <w:vAlign w:val="center"/>
          </w:tcPr>
          <w:p w14:paraId="4CB6DDC9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  <w:t>章序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5B9BD5" w:themeFill="accent1"/>
            <w:vAlign w:val="center"/>
          </w:tcPr>
          <w:p w14:paraId="2C466409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  <w:t>课程内容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5B9BD5" w:themeFill="accent1"/>
            <w:vAlign w:val="center"/>
          </w:tcPr>
          <w:p w14:paraId="35106676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  <w:t>课时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5B9BD5" w:themeFill="accent1"/>
            <w:vAlign w:val="center"/>
          </w:tcPr>
          <w:p w14:paraId="0B000960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FFFFFF" w:themeColor="background1"/>
                <w:sz w:val="28"/>
                <w:szCs w:val="28"/>
              </w:rPr>
              <w:t>备注</w:t>
            </w:r>
          </w:p>
        </w:tc>
      </w:tr>
      <w:tr w14:paraId="5D6CF72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72FCB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D5377B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绪论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E6746B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266F0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72AFD3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19A5E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505A7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基本组织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49D70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82C9AA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89FB4F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893C9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1C1F5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运动系统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F3159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14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9D386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6F82D0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28F34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C9847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消化系统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EFD2B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8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DD8FA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56AAD5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40570E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D2776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呼吸系统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E76B40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803D6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94AC73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736F57A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456AE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泌尿系统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1F66017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F05FF1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70E69A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E57221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7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F93E02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生殖系统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E2BDDF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0CB4C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49A566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687FA5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8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53AF4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内分泌系统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1595FB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DC942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42AFDB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FAC32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9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38651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脉管系统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D0C14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6B6984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18B19D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F2B7A7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10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1ABFBA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感觉器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2FA264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0BE33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A68D10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F25EF8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11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71251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神经系统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A32AEF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16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3423EF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10312C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A811C0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12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D4EC4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胚胎发育概要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BF347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A6F5B9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1C36C5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8" w:space="0"/>
            <w:insideV w:val="single" w:color="00B0F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931033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总计</w:t>
            </w:r>
          </w:p>
        </w:tc>
        <w:tc>
          <w:tcPr>
            <w:tcW w:w="416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1C7B60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813AF9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98</w:t>
            </w:r>
          </w:p>
        </w:tc>
        <w:tc>
          <w:tcPr>
            <w:tcW w:w="16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F575A0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 w14:paraId="5B5F57CE"/>
    <w:p w14:paraId="065A88B1">
      <w:pPr>
        <w:jc w:val="center"/>
      </w:pPr>
    </w:p>
    <w:p w14:paraId="47219050">
      <w:pPr>
        <w:jc w:val="center"/>
      </w:pPr>
    </w:p>
    <w:p w14:paraId="5F5A2E05">
      <w:pPr>
        <w:jc w:val="center"/>
      </w:pPr>
    </w:p>
    <w:p w14:paraId="14662E4C">
      <w:pPr>
        <w:jc w:val="center"/>
      </w:pPr>
    </w:p>
    <w:p w14:paraId="62C0D2DD">
      <w:pPr>
        <w:jc w:val="center"/>
      </w:pPr>
    </w:p>
    <w:p w14:paraId="04195A8C">
      <w:pPr>
        <w:jc w:val="center"/>
      </w:pPr>
    </w:p>
    <w:p w14:paraId="162F7120">
      <w:pPr>
        <w:jc w:val="center"/>
      </w:pPr>
    </w:p>
    <w:p w14:paraId="573F1B3C">
      <w:pPr>
        <w:jc w:val="center"/>
      </w:pPr>
    </w:p>
    <w:p w14:paraId="2F1DCB14">
      <w:pPr>
        <w:jc w:val="center"/>
      </w:pPr>
    </w:p>
    <w:p w14:paraId="189A9730">
      <w:pPr>
        <w:jc w:val="center"/>
      </w:pPr>
    </w:p>
    <w:p w14:paraId="1F7A8AED">
      <w:pPr>
        <w:jc w:val="center"/>
      </w:pPr>
    </w:p>
    <w:p w14:paraId="1C6BB112">
      <w:pPr>
        <w:jc w:val="center"/>
      </w:pPr>
    </w:p>
    <w:p w14:paraId="63B5C0AE">
      <w:pPr>
        <w:keepNext/>
        <w:keepLines/>
        <w:spacing w:before="260" w:after="260" w:line="416" w:lineRule="atLeast"/>
        <w:jc w:val="center"/>
        <w:outlineLvl w:val="1"/>
        <w:rPr>
          <w:rFonts w:hint="eastAsia" w:ascii="微软简老宋" w:hAnsi="微软简老宋" w:cs="微软简老宋" w:eastAsiaTheme="minorEastAsia"/>
          <w:color w:val="00B0F0"/>
          <w:sz w:val="32"/>
          <w:szCs w:val="32"/>
        </w:rPr>
      </w:pPr>
      <w:r>
        <w:rPr>
          <w:rFonts w:hint="eastAsia" w:ascii="微软简老宋" w:hAnsi="微软简老宋" w:eastAsia="微软简老宋" w:cs="微软简老宋"/>
          <w:color w:val="00B0F0"/>
          <w:sz w:val="32"/>
          <w:szCs w:val="32"/>
        </w:rPr>
        <w:t>单元十  感觉器</w:t>
      </w:r>
    </w:p>
    <w:tbl>
      <w:tblPr>
        <w:tblStyle w:val="11"/>
        <w:tblW w:w="10205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4472C4" w:themeColor="accent5" w:sz="4" w:space="0"/>
          <w:insideV w:val="single" w:color="4472C4" w:themeColor="accent5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7007"/>
        <w:gridCol w:w="1654"/>
      </w:tblGrid>
      <w:tr w14:paraId="5822065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68715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bookmarkStart w:id="0" w:name="_GoBack" w:colFirst="0" w:colLast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课题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34BBB4D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感觉器</w:t>
            </w:r>
          </w:p>
        </w:tc>
      </w:tr>
      <w:tr w14:paraId="720EC4F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2D882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课时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3C367EE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6课时（270min）。</w:t>
            </w:r>
          </w:p>
        </w:tc>
      </w:tr>
      <w:tr w14:paraId="73AF43A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5BF37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教学目标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593DFBA4">
            <w:pPr>
              <w:spacing w:line="360" w:lineRule="auto"/>
              <w:rPr>
                <w:rFonts w:hint="eastAsia" w:ascii="宋体" w:hAnsi="宋体" w:eastAsia="宋体" w:cs="宋体"/>
                <w:b w:val="0"/>
                <w:color w:val="00B0F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知识技能目标：</w:t>
            </w:r>
          </w:p>
          <w:p w14:paraId="26F43810">
            <w:pPr>
              <w:wordWrap w:val="0"/>
              <w:autoSpaceDE w:val="0"/>
              <w:autoSpaceDN w:val="0"/>
              <w:spacing w:line="360" w:lineRule="auto"/>
              <w:ind w:hanging="8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1．了解眼球壁的层次结构。</w:t>
            </w:r>
          </w:p>
          <w:p w14:paraId="0FB7C79A">
            <w:pPr>
              <w:wordWrap w:val="0"/>
              <w:autoSpaceDE w:val="0"/>
              <w:autoSpaceDN w:val="0"/>
              <w:spacing w:line="360" w:lineRule="auto"/>
              <w:ind w:hanging="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2．掌握眼球屈光系统的组成。</w:t>
            </w:r>
          </w:p>
          <w:p w14:paraId="514E53B2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3．掌握声波传人内耳的途径。</w:t>
            </w:r>
          </w:p>
          <w:p w14:paraId="0568510F">
            <w:pPr>
              <w:spacing w:line="360" w:lineRule="auto"/>
              <w:rPr>
                <w:rFonts w:hint="eastAsia" w:ascii="宋体" w:hAnsi="宋体" w:eastAsia="宋体" w:cs="宋体"/>
                <w:b w:val="0"/>
                <w:color w:val="00B0F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思政育人目标：</w:t>
            </w:r>
          </w:p>
          <w:p w14:paraId="6E473A23">
            <w:pPr>
              <w:spacing w:line="360" w:lineRule="auto"/>
              <w:ind w:left="-6"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让学生通过学习感觉器，普及健康常识，了解中国爱耳日，培养同理心，树立正确的人生观。</w:t>
            </w:r>
          </w:p>
        </w:tc>
      </w:tr>
      <w:tr w14:paraId="40A6FFE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267DF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教学重难点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0902A6F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教学重点：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眼球的结构、中耳的结构</w:t>
            </w:r>
          </w:p>
          <w:p w14:paraId="07C02D9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B0F0"/>
                <w:sz w:val="24"/>
                <w:szCs w:val="24"/>
              </w:rPr>
              <w:t>教学难点：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屈光体系、内耳的结构</w:t>
            </w:r>
          </w:p>
        </w:tc>
      </w:tr>
      <w:tr w14:paraId="0830DD6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00DCE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教学方法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6A6A967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讲授法、问答法、讨论法</w:t>
            </w:r>
          </w:p>
        </w:tc>
      </w:tr>
      <w:tr w14:paraId="26A682C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41D6B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教学用具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1FB3C3E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电脑、投影仪、多媒体课件、教材</w:t>
            </w:r>
          </w:p>
        </w:tc>
      </w:tr>
      <w:tr w14:paraId="3F92509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bottom w:val="doub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68212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教学设计</w:t>
            </w:r>
          </w:p>
        </w:tc>
        <w:tc>
          <w:tcPr>
            <w:tcW w:w="8904" w:type="dxa"/>
            <w:gridSpan w:val="2"/>
            <w:tcBorders>
              <w:bottom w:val="double" w:color="4472C4" w:themeColor="accent5" w:sz="4" w:space="0"/>
              <w:tl2br w:val="nil"/>
              <w:tr2bl w:val="nil"/>
            </w:tcBorders>
            <w:vAlign w:val="center"/>
          </w:tcPr>
          <w:p w14:paraId="642DE2F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第1节课：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考勤（2min）--知识讲解（40min）--作业布置（3min）</w:t>
            </w:r>
          </w:p>
          <w:p w14:paraId="6BC0215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第2节课：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知识讲解（40min）--课堂小结（3min）--作业布置（2min）</w:t>
            </w:r>
          </w:p>
          <w:p w14:paraId="2BFB789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第3节课：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知识讲解（40min）--课堂小结（3min）--作业布置（2min）</w:t>
            </w:r>
          </w:p>
          <w:p w14:paraId="06B2563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第4节课：知识讲解（40min）--课堂小结（3min）--作业布置（2min）</w:t>
            </w:r>
          </w:p>
          <w:p w14:paraId="7898FBF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第5节课：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知识讲解（40min）--课堂小结（3min）--作业布置（2min）</w:t>
            </w:r>
          </w:p>
          <w:p w14:paraId="7A4AB6A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第6节课：知识讲解（40min）--课堂小结（3min）--作业布置（2min）</w:t>
            </w:r>
          </w:p>
        </w:tc>
      </w:tr>
      <w:tr w14:paraId="68B0EAA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191C7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208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67D660BD">
            <w:pPr>
              <w:spacing w:line="360" w:lineRule="auto"/>
              <w:ind w:firstLine="440"/>
              <w:jc w:val="center"/>
              <w:rPr>
                <w:rFonts w:hint="eastAsia" w:ascii="宋体" w:hAnsi="宋体" w:eastAsia="宋体" w:cs="宋体"/>
                <w:b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696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6D28BDE6">
            <w:pPr>
              <w:spacing w:line="360" w:lineRule="auto"/>
              <w:ind w:firstLine="440"/>
              <w:jc w:val="center"/>
              <w:rPr>
                <w:rFonts w:hint="eastAsia" w:ascii="宋体" w:hAnsi="宋体" w:eastAsia="宋体" w:cs="宋体"/>
                <w:b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7F3127D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doub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04917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考勤</w:t>
            </w:r>
          </w:p>
          <w:p w14:paraId="3F8E4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（2min）</w:t>
            </w:r>
          </w:p>
        </w:tc>
        <w:tc>
          <w:tcPr>
            <w:tcW w:w="7208" w:type="dxa"/>
            <w:tcBorders>
              <w:top w:val="double" w:color="4472C4" w:themeColor="accent5" w:sz="4" w:space="0"/>
              <w:tl2br w:val="nil"/>
              <w:tr2bl w:val="nil"/>
            </w:tcBorders>
            <w:vAlign w:val="center"/>
          </w:tcPr>
          <w:p w14:paraId="05F8CC22">
            <w:pPr>
              <w:spacing w:line="360" w:lineRule="auto"/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■【教师】清点上课人数，记录好考勤</w:t>
            </w:r>
          </w:p>
          <w:p w14:paraId="6541513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48235" w:themeColor="accent6" w:themeShade="BF"/>
                <w:sz w:val="24"/>
                <w:szCs w:val="24"/>
              </w:rPr>
              <w:t>■【学生】班干部报请假人员及原因</w:t>
            </w:r>
          </w:p>
        </w:tc>
        <w:tc>
          <w:tcPr>
            <w:tcW w:w="1696" w:type="dxa"/>
            <w:tcBorders>
              <w:top w:val="double" w:color="4472C4" w:themeColor="accent5" w:sz="4" w:space="0"/>
              <w:tl2br w:val="nil"/>
              <w:tr2bl w:val="nil"/>
            </w:tcBorders>
            <w:vAlign w:val="center"/>
          </w:tcPr>
          <w:p w14:paraId="7E81CA6F">
            <w:pPr>
              <w:spacing w:line="360" w:lineRule="auto"/>
              <w:ind w:firstLine="4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培养学生的组织纪律性,掌握学生的出勤情况</w:t>
            </w:r>
          </w:p>
        </w:tc>
      </w:tr>
      <w:tr w14:paraId="496F6E1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23EEA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23635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45ACCD2F">
            <w:pPr>
              <w:widowControl/>
              <w:spacing w:line="360" w:lineRule="auto"/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展示感觉器标本模型</w:t>
            </w:r>
          </w:p>
          <w:p w14:paraId="4B3B6482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视器（visual organ）由眼球和辅助装置组成，主要感受光的刺激，经视神经传至脑的视中枢产生视觉。</w:t>
            </w:r>
          </w:p>
          <w:p w14:paraId="5EFCC5BD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一、眼球</w:t>
            </w:r>
          </w:p>
          <w:p w14:paraId="0AED3E88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眼球（eyeball）是视器的主要部分，位于眼眶内，近似球形，后面借视神经连于间脑。眼球前、后面的正中点分别称为前极和后极，前、后极的连线为眼轴，通过瞳孔的中央到视网膜中央凹的连线称视轴，眼球由眼球壁和眼球内容物组成。</w:t>
            </w:r>
          </w:p>
          <w:p w14:paraId="05E8F14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（一）眼球壁</w:t>
            </w:r>
          </w:p>
          <w:p w14:paraId="6897DA38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眼球壁从外向内由纤维膜、血管膜和视网膜组成。</w:t>
            </w:r>
          </w:p>
          <w:p w14:paraId="1146EA8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1. 眼球纤维膜　眼球纤维膜为眼球壁的外层，厚而坚韧，由致密结缔组织组成，具有维持眼球外形和保护眼球的作用，可分为前 1/6 的角膜和后 5/6 的巩膜。</w:t>
            </w:r>
          </w:p>
          <w:p w14:paraId="2F71C0E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1）角膜（cornea）：角膜曲度较大，无色，透明，有折光作用，角膜内无血管但有丰富的感觉神经末梢，感觉灵敏，当角膜病变时疼痛剧烈。</w:t>
            </w:r>
          </w:p>
          <w:p w14:paraId="5A02BB66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2）巩膜（sclera）：巩膜呈不透明的乳白色，前缘与角膜相连，交界处称角膜缘（是眼内手术常用的切口处），其深面有一环形的小管，称巩膜静脉窦。巩膜在视神经穿出部增厚，并与视神经鞘膜相续。</w:t>
            </w:r>
          </w:p>
          <w:p w14:paraId="2BE09CD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2. 眼球血管膜　眼球血管膜为眼球壁的中层，富含血管、神经和色素，呈棕黑色，有营养和遮光的作用。眼球血管膜由前向后分为虹膜、睫状体和脉络膜 3 部分。</w:t>
            </w:r>
          </w:p>
          <w:p w14:paraId="11D4580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1）虹膜（iris）：虹膜位于血管膜的最前部，在额状位呈圆盘状，中央有圆形的瞳孔（pupil），是光线进入眼球的通道。虹膜的颜色有人种差异，黄种人多呈棕黑色。虹膜把角膜和晶状体之间的间隙（眼房）分为角膜与虹膜之间的眼前房，虹膜与晶状体之间的眼后房。前房和后房借瞳孔相通，在虹膜与角膜交界处有环形的虹膜角膜角，又称眼房角。虹膜内有两种排列方向不同的平滑肌：围绕瞳孔呈环形排列的为瞳孔括约肌，收缩时使瞳孔缩小；围绕瞳孔呈放射状排列的为瞳孔开大肌，收缩时使瞳孔开大。瞳孔开大或缩小可调节进入眼球内的光线，在弱光下或看远物时，瞳孔开大；在强光下或看近物时，瞳孔缩小。</w:t>
            </w:r>
          </w:p>
          <w:p w14:paraId="6D66A5FA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2）睫状体（ciliary body）：睫状体位于巩膜和角膜移行部的内面，是血管膜中部环形的肥厚部分，前接虹膜，后续脉络膜。睫状体前部有向内突出、呈放射状排列的皱襞，称为睫状突。睫状体内有平滑肌，称睫状肌，收缩和舒张可调节晶状体的曲度。</w:t>
            </w:r>
          </w:p>
          <w:p w14:paraId="3ED93106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3）脉络膜（choroid）：脉络膜占血管膜的后 2/3，其外面与巩膜结合较疏松，内面与视网膜色素层紧密相贴。富含血管和色素，具有营养眼球内组织和吸收眼内分散光线，避免扰乱视觉的作用。</w:t>
            </w:r>
          </w:p>
          <w:p w14:paraId="72A0D168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3. 视网膜　视网膜为眼球壁的内层，位于虹膜和睫状体内面的部分无感光作用，称视网膜盲部；位于脉络膜内面的部分，有感光作用，称视网膜视部（parts oplica retinae）。在视网膜后部偏鼻侧处，有一圆盘状的隆起，称视神经盘（optic disc），为视神经的起始部和视网膜中央动脉、静脉出入的部位，无感光细胞，故称盲点。在视神经盘颞侧稍偏下方 3.5mm 处有一黄色斑块，称黄斑（macula lutea），其中央凹陷处称中央凹（fovea centralis），是感光辨色最敏锐的部位。在活体，可经眼底镜直接观察到上述结构。</w:t>
            </w:r>
          </w:p>
          <w:p w14:paraId="7F6E0FA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视网膜的组织结构可分为内、外两层。外层为色素层，与脉络膜紧密相连，由单层色素上皮构成，细胞质内含有黑色素颗粒，色素能吸收光线，保护感光细胞免受过强光线的刺激。内层为神经层，由</w:t>
            </w:r>
          </w:p>
          <w:p w14:paraId="104A2BDA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3 层神经细胞组成：最外层为视细胞层，有视锥细胞和视杆细胞，视锥细胞感受强光和分辨颜色，视杆细胞感受弱光，不能辨色。中间层为双极细胞层，是视细胞和节细胞间的联络神经元。内层为节细胞层，为多极神经元，树突与双极细胞构成突触，轴突在视神经盘处聚集穿眼球壁组成视神经。中央凹处有密集排列的视锥细胞，而视神经盘处只有密集排列的神经纤维，并无视细胞。</w:t>
            </w:r>
          </w:p>
          <w:p w14:paraId="7C2F09CD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视网膜神经部与色素部两层间连结疏松，病理情况下两层易分离，临床上称为“视网膜剥离症”。</w:t>
            </w:r>
          </w:p>
          <w:p w14:paraId="53CFB1A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6DCC5D5E">
            <w:pPr>
              <w:autoSpaceDE w:val="0"/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6A9FCE3B">
            <w:pPr>
              <w:spacing w:line="360" w:lineRule="auto"/>
              <w:ind w:firstLine="442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展示感觉器模型，让学生更加仔细的阅读，从而激发学生的学习欲望。</w:t>
            </w:r>
          </w:p>
        </w:tc>
      </w:tr>
      <w:tr w14:paraId="3F76E3C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7022F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作业布置（3min）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16F536DF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布置课后作业</w:t>
            </w:r>
          </w:p>
          <w:p w14:paraId="56B9EC5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简述眼球壁的结构。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104422F1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03BCE16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5FB16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5F91A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767FACC2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展示感觉器标本模型</w:t>
            </w:r>
          </w:p>
          <w:p w14:paraId="4764A98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（二）眼球内容物</w:t>
            </w:r>
          </w:p>
          <w:p w14:paraId="43E9637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包括房水、晶状体和玻璃体，均具有折光作用，与角膜一起称为眼球的屈光系统。</w:t>
            </w:r>
          </w:p>
          <w:p w14:paraId="3BA44448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1. 房水（aqueous humor）　房水为无色透明的液体，充满于眼房内。房水由睫状体上皮分泌和血管渗出形成，自眼后房经瞳孔流入眼前房，再经虹膜角膜角处渗入巩膜静脉窦，最后汇入眼静脉。房水具有营养角膜、晶状体和维持眼内压的功能。当房水回流受阻时，可引起眼内压增高，致使视力受损，临床上称为“青光眼”。</w:t>
            </w:r>
          </w:p>
          <w:p w14:paraId="58086AB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2. 晶状体（lens）　晶状体位于虹膜与玻璃体之间，呈具有弹性的双凸透镜状，无色、透明，不含血管和神经。表面包有一层无色、透明的晶状体囊，周缘借睫状小带连于睫状体。</w:t>
            </w:r>
          </w:p>
          <w:p w14:paraId="7275DD50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晶状体的曲度可随所视物体的远近不同而改变。当视近物时，反射性地使睫状肌收缩，睫状小带松弛，晶状体由于自身弹性回位曲度增大，折光力增强，使光线恰能聚焦在视网膜上。视远物时，与此相反。晶状体曲度改变的能力随年龄增长而逐步减弱，眼的调节能力减弱，视近物时模糊，视远物时清晰，俗称“老花眼”。若某种原因引起晶状体混浊，临床上称为“白内障”。</w:t>
            </w:r>
          </w:p>
          <w:p w14:paraId="6CB8F4F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3. 玻璃体（vitreous body）　玻璃体为无色透明的胶状质，表面覆有玻璃体囊，填充于晶状体和视网膜之间，具有折光和支撑视网膜作用。若玻璃体混浊，眼前可见晃动的黑点，临床上称为“飞蚊症”。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 w14:paraId="1280C062">
            <w:pPr>
              <w:spacing w:line="360" w:lineRule="auto"/>
              <w:ind w:firstLine="4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0F0CF1AC">
            <w:pPr>
              <w:spacing w:line="360" w:lineRule="auto"/>
              <w:ind w:firstLine="442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通过教师讲解，了解眼球内容为的基本理论知识。</w:t>
            </w:r>
          </w:p>
        </w:tc>
      </w:tr>
      <w:tr w14:paraId="24934F0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2D4B1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课堂小结</w:t>
            </w:r>
          </w:p>
          <w:p w14:paraId="24B53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（3min）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2353EA00">
            <w:pPr>
              <w:spacing w:line="360" w:lineRule="auto"/>
              <w:ind w:firstLine="4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】</w:t>
            </w:r>
            <w:r>
              <w:rPr>
                <w:rFonts w:hint="eastAsia" w:ascii="宋体" w:hAnsi="宋体" w:eastAsia="宋体" w:cs="宋体"/>
                <w:bCs w:val="0"/>
                <w:color w:val="CC0066"/>
                <w:sz w:val="24"/>
                <w:szCs w:val="24"/>
              </w:rPr>
              <w:t>回顾和总结本节课的知识点。</w:t>
            </w:r>
          </w:p>
          <w:p w14:paraId="58A9F76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这节课我们一起学习了眼球内容物，了解晶状体曲度改变的能力随年龄增长而逐步减弱，眼的调节能力减弱，视近物时模糊，视远物时清晰，俗称“老花眼”。若某种原因引起晶状体混浊，临床上称为“白内障”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05572377">
            <w:pPr>
              <w:spacing w:line="360" w:lineRule="auto"/>
              <w:ind w:firstLine="4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4DA7DCD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622C6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作业布置（2min）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42D88B95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布置课后作业</w:t>
            </w:r>
          </w:p>
          <w:p w14:paraId="770FE105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简述眼球的屈光系统。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3A274193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1E89564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single" w:color="4472C4" w:themeColor="accent5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634DE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1506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single" w:color="4472C4" w:themeColor="accent5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7011A25D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展示感觉器标本模型</w:t>
            </w:r>
          </w:p>
          <w:p w14:paraId="3A6B1CE5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二、眼副器</w:t>
            </w:r>
          </w:p>
          <w:p w14:paraId="3D599BDC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眼副器包括眼睑、结膜、泪器、眼外肌、眶内筋膜和眶脂体，对眼球起保护、运动和支持作用。</w:t>
            </w:r>
          </w:p>
          <w:p w14:paraId="755D708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（一）眼睑</w:t>
            </w:r>
          </w:p>
          <w:p w14:paraId="158A349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眼睑（eyelids）　眼睑是眼前方的皮肤皱襞，分为上睑和下睑，有保护眼的作用。上下睑之间的裂隙称为睑裂，内、外侧的夹角分别称为内眦和外眦，睑的游离缘称为睑缘，向前生长有睫毛，睫毛的皮脂腺称为睑缘腺，该腺感染时形成睑腺炎，为常见眼病。上下睑缘近内眦处各有一小孔，称为泪点，是泪小管的入口。</w:t>
            </w:r>
          </w:p>
          <w:p w14:paraId="74C8176B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眼睑由外向内由皮肤、皮下组织、肌层、睑板、睑结膜构成。睑板由致密结缔组织形成，支持眼睑。上下睑板均呈半月形，内有睑板腺。睑板腺与睑缘垂直排列，开口于睑缘，分泌油脂类物质，有润滑睑缘和防止泪液外溢的作用，睑板腺囊肿称为霰粒肿。</w:t>
            </w:r>
          </w:p>
          <w:p w14:paraId="0064D30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（二）结膜</w:t>
            </w:r>
          </w:p>
          <w:p w14:paraId="37E20C4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结膜（conjunctiva）：为富含血管的透明薄膜。覆盖于眼睑内面的为睑结膜；覆盖于眼球巩膜前面的为球结膜。上下睑结膜与球结膜的移行处所形成的隐窝，分别称为结膜上穹和结膜下穹，眼裂闭合时围成结膜囊。沙眼和结膜炎是结膜的常见病。</w:t>
            </w:r>
          </w:p>
          <w:p w14:paraId="42E21CB0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（三）泪器</w:t>
            </w:r>
          </w:p>
          <w:p w14:paraId="42FBFE72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泪器由泪腺和泪道组成。泪道包括泪点、泪小管、泪囊和鼻泪管。</w:t>
            </w:r>
          </w:p>
          <w:p w14:paraId="1057C64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1. 泪腺（lacrimal gland）　泪腺位于眼眶上壁外侧泪腺窝内，排泄管开口于结膜上穹的外侧部。泪腺可分泌泪液，借瞬眼活动涂抹于眼球的表面，多余泪液流向内眦，经泪点入泪小管。泪液有湿润角膜和冲洗异物的作用。</w:t>
            </w:r>
          </w:p>
          <w:p w14:paraId="45CBC55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2. 泪小管（lacrimal ductule）　泪小管位于眼睑皮下，分为上泪小管、下泪小管，起自泪点，与眼睑垂直向上、向下走行，然后转向内侧呈水平方向开口于泪囊。</w:t>
            </w:r>
          </w:p>
          <w:p w14:paraId="3B38E7D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3. 泪囊（lacrimal sac）　位于眶内侧壁的泪囊窝内。上部为盲端，向下移行为鼻泪管。</w:t>
            </w:r>
          </w:p>
          <w:p w14:paraId="36966461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4. 鼻泪管（nasolacrimal duct）　鼻泪管位于骨性鼻泪管内，上接泪囊，下端开口于下鼻道。当鼻泪管和泪囊流通不畅时，可引起“溢泪症”。</w:t>
            </w:r>
          </w:p>
          <w:p w14:paraId="7936E5BB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（四）眼外肌</w:t>
            </w:r>
          </w:p>
          <w:p w14:paraId="2C428E5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眼外肌均为骨骼肌，是视器的运动装置，包括 6 条运动眼球的肌和 1 条运动眼上睑的肌。</w:t>
            </w:r>
          </w:p>
          <w:p w14:paraId="0EE59F3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上睑提肌可提上睑，开大眼裂，麻痹时则引起上睑下垂。</w:t>
            </w:r>
          </w:p>
          <w:p w14:paraId="3BBFAC51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6 条运动眼球的肌是内直肌、外直肌、上直肌、下直肌、上斜肌和下斜肌。</w:t>
            </w:r>
          </w:p>
          <w:p w14:paraId="77AA38F5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内直肌、外直肌、上直肌、下直肌收缩时使眼球前极分别转向内侧、外侧、上内方、下内方。上斜肌收缩时使眼球前极转向下外方。下斜肌收缩时使眼球前极转向上外方。</w:t>
            </w:r>
          </w:p>
          <w:p w14:paraId="3FB89D96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眼球的灵活转动，是上述各肌共同参与、协同作用的结果，如侧视时，一侧外直肌和对侧内直肌同时收缩。当运动眼球的某块肌瘫痪时可引起眼球偏斜，称斜视。</w:t>
            </w:r>
          </w:p>
          <w:p w14:paraId="5C518DDD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三、眼的血管</w:t>
            </w:r>
          </w:p>
          <w:p w14:paraId="5B0CA9C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（一）动脉</w:t>
            </w:r>
          </w:p>
          <w:p w14:paraId="70C6284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眼血液供应主要来自眼动脉，自颈内动脉发出后随视神经进入眼眶，在眶内发出分支营养眼球、泪腺、眼外肌和眼睑等，其中最重要的分支为视网膜中央动脉。视网膜中央动脉在眼球后方穿入视神经，在视神经中央走行，出视神经盘发出分支营养视网膜。临床上用眼底镜可直接观察这些小动脉的形态，以帮助诊断动脉硬化和某些颅内病变。</w:t>
            </w:r>
          </w:p>
          <w:p w14:paraId="2EA490D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（二）静脉</w:t>
            </w:r>
          </w:p>
          <w:p w14:paraId="6197BFB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眼的静脉主要有眼上静脉和眼下静脉。眼上静脉向后汇入海绵窦，眼下静脉向后分支，汇入眼上静脉和翼静脉丛。眼的静脉无静脉瓣，前方与内眦静脉相吻合，故面部危险三角区感染可通过眼静脉侵入颅内。</w:t>
            </w:r>
          </w:p>
          <w:p w14:paraId="5115BEF1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single" w:color="4472C4" w:themeColor="accent5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1E5EBC12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通过教师讲解，了解眼副器眼的血管基本理论知识。</w:t>
            </w:r>
          </w:p>
        </w:tc>
      </w:tr>
      <w:tr w14:paraId="1A5F4EB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single" w:color="4472C4" w:themeColor="accent5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42E63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课堂小结</w:t>
            </w:r>
          </w:p>
          <w:p w14:paraId="5DD59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（3min）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single" w:color="4472C4" w:themeColor="accent5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22E12E3A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【教师】回顾和总结本节课的知识点。</w:t>
            </w:r>
          </w:p>
          <w:p w14:paraId="7A23A05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这节课我们一起学习了眼副器、眼球外肌和眼的血管，了解视网膜中央动脉在眼球后方穿入视神经，在视神经中央走行，出视神经盘发出分支营养视网膜。临床上用眼底镜可直接观察这些小动脉的形态，以帮助诊断动脉硬化和某些颅内病变。</w:t>
            </w:r>
          </w:p>
          <w:p w14:paraId="4B974F4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single" w:color="4472C4" w:themeColor="accent5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192DB161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6DCBCBE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4F692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作业布置（2min）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347C0780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【教师】布置课后作业</w:t>
            </w:r>
          </w:p>
          <w:p w14:paraId="6A6B37F6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简述眼副器。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4549AD02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065B6F4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04D7B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7614B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5D66AA84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展示感觉器标本模型</w:t>
            </w:r>
          </w:p>
          <w:p w14:paraId="735FE0FB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前庭蜗器（vestibulocochlear organ）又称耳（ear），由外耳、中耳和内耳三部分组成。外耳和中耳是声波的传导装置，内耳有接受声波和位觉刺激的感觉器。</w:t>
            </w:r>
          </w:p>
          <w:p w14:paraId="63C4B96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一、外耳</w:t>
            </w:r>
          </w:p>
          <w:p w14:paraId="71B6D630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外耳包括耳郭、外耳道和鼓膜 3 部分，具有收纳和传导声波的作用。</w:t>
            </w:r>
          </w:p>
          <w:p w14:paraId="23F2A892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（一）耳郭</w:t>
            </w:r>
          </w:p>
          <w:p w14:paraId="7A4B0346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耳郭（auricle）位于头部的两侧，凸面朝后，凹面朝向前外，由皮肤和弹性软骨构成，</w:t>
            </w:r>
          </w:p>
          <w:p w14:paraId="5233287B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血管和神经末梢丰富。外耳门前方的突起称耳屏，耳郭下方无软骨的部分称耳垂，仅含结缔组织和脂肪，是临床采血的常用部位。</w:t>
            </w:r>
          </w:p>
          <w:p w14:paraId="3BCC4E1C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（二）外耳道</w:t>
            </w:r>
          </w:p>
          <w:p w14:paraId="78784CD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外耳道（external acoustic meatus） 是外耳门至鼓膜的弯曲管道， 长约 2.5cm。外侧 1/3 为软骨部，内侧 2/3 为骨部，两部交界处较为狭窄。外耳道从外向内先弯向前上，再转向前下。作外耳道、鼓膜检查时，向后上牵拉耳郭，可使外耳道变直而看到鼓膜。儿童的外耳道狭小、短且水平，检查时应将耳郭拉向后下方。外耳道的皮肤薄，含有毛囊及耵聆腺，分泌耵聍 （耳蜡）。皮肤与软骨膜和骨膜结合紧密，故炎症肿胀时疼痛剧烈。</w:t>
            </w:r>
          </w:p>
          <w:p w14:paraId="3A549FC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（三）鼓膜</w:t>
            </w:r>
          </w:p>
          <w:p w14:paraId="4DC29BE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鼓膜（tympanic membrane）为椭圆形半透膜，位于外耳道底，为外耳和中耳的分界。鼓膜的边缘附着于颞骨上，中央凹陷称鼓膜脐，有锤骨柄的末端附着，前下部有一三角形反光区，称为光锥。光锥消失是鼓膜内陷的重要标志。鼓膜前上 1/4 薄而松弛，称松弛部，活体上呈红色。后下 3/4 厚而紧张，称紧张部，活体上呈灰白色。</w:t>
            </w:r>
          </w:p>
          <w:p w14:paraId="2AC7F37C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057158A3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通过教师讲解，了解外耳的基本理论知识。</w:t>
            </w:r>
          </w:p>
        </w:tc>
      </w:tr>
      <w:tr w14:paraId="34EDC92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006D5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课堂小结</w:t>
            </w:r>
          </w:p>
          <w:p w14:paraId="4AB4C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（3min）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3E4DDA62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【教师】回顾和总结本节课的知识点。</w:t>
            </w:r>
          </w:p>
          <w:p w14:paraId="00A96A32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这节课我们一起学习了外耳，了解外耳道的皮肤薄，含有毛囊及耵聆腺，分泌耵聍 （耳蜡）。皮肤与软骨膜和骨膜结合紧密，故炎症肿胀时疼痛剧烈。</w:t>
            </w:r>
          </w:p>
          <w:p w14:paraId="763AD59E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75B5BB07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1A6C972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583FA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作业布置（2min）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24747B0E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【教师】布置课后作业</w:t>
            </w:r>
          </w:p>
          <w:p w14:paraId="03EA619C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简述鼓膜。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6F32BA03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07577D3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0D080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4E33C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1F40AB24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展示感觉器标本模型</w:t>
            </w:r>
          </w:p>
          <w:p w14:paraId="02CE750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二、中耳</w:t>
            </w:r>
          </w:p>
          <w:p w14:paraId="5D8730E3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中耳包括鼓室、咽鼓管和乳突小房。</w:t>
            </w:r>
          </w:p>
          <w:p w14:paraId="705EEB0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（一）鼓室</w:t>
            </w:r>
          </w:p>
          <w:p w14:paraId="772FA02D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鼓室（tympanic cavity）为颞骨岩部内形态不规则的一个含气腔隙，位于鼓膜与内耳之间，腔内有听小骨、肌、血管和神经。表面覆盖有黏膜，与咽鼓管和乳突小房的黏膜相延续。</w:t>
            </w:r>
          </w:p>
          <w:p w14:paraId="2237B0D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鼓室内有 3 块听小骨：锤骨、砧骨和镫骨。锤骨附于鼓膜，镫骨底连于前庭窗。3 骨间借关节相连，似一曲折的杠杆系，当声波振动鼓膜时，可借听小骨链的运动将声波传入内耳。若镫骨底与前庭窗之间有骨质增生，会致听力下降，临床称为耳硬化症。</w:t>
            </w:r>
          </w:p>
          <w:p w14:paraId="664BED2D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（二）咽鼓管</w:t>
            </w:r>
          </w:p>
          <w:p w14:paraId="18C3051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咽鼓管（auditory tube）为连通鼻咽腔与鼓室的管道，使鼓室和外界大气压相等，以利于鼓膜运动。咽鼓管外侧端开口于鼓室前壁；内侧端开口于咽鼓管咽口。</w:t>
            </w:r>
          </w:p>
          <w:p w14:paraId="4BB1285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此管平时处于关闭状态，当吞咽、哈欠时，被肌肉牵拉而张开，空气进入鼓室，使鼓室两侧的气压相等，便于鼓膜接受声波冲击而振动。咽鼓管内面覆盖有黏膜，并与鼓室和咽的黏膜相延续。幼儿咽鼓管较成人粗短而水平，管腔大，故咽部感染易沿咽鼓管侵入鼓室，引起中耳炎。</w:t>
            </w:r>
          </w:p>
          <w:p w14:paraId="738A62A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（三）乳突小房</w:t>
            </w:r>
          </w:p>
          <w:p w14:paraId="607D84E1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乳突小房（mastoid cells）为颞骨乳突内的许多含气小腔，这些小腔相互交通，向前经乳突窦（mastoid antrum ）开口于鼓室后壁，乳突窦和乳突小房内衬有由鼓室延续而来的黏膜，故中耳炎可蔓延到乳突小房，引起乳突小房炎。</w:t>
            </w:r>
          </w:p>
          <w:p w14:paraId="0EF5937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三、内耳</w:t>
            </w:r>
          </w:p>
          <w:p w14:paraId="20F8F72D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内耳为位听器的主要部分，包埋于颞骨岩部内，由骨迷路和膜迷路构成。骨迷路由骨质围成，膜迷路为套在骨迷路内的膜性管道，两者之间的间隙充满外淋巴，膜迷路内充满内淋巴。内淋巴和外淋巴互不相通。</w:t>
            </w:r>
          </w:p>
          <w:p w14:paraId="001EE25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（一）骨迷路</w:t>
            </w:r>
          </w:p>
          <w:p w14:paraId="529A4E7C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骨迷路（bony labyrinth）由后上向前下分为骨半规管、前庭和耳蜗，它们互相连通。</w:t>
            </w:r>
          </w:p>
          <w:p w14:paraId="0C0D2E72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1. 骨半规管（bony semicircular canals）　骨半规管是由 3 个相互垂直的 C 形小管组成的。按其位置分别称为前半规管、后半规管和外半规管。每个半规管都有两个脚，一为单脚，一为膨大的壶腹脚，其膨大部称骨壶腹。前半规管、后半规管的单脚合成一个总脚，因此 3 个半规管有 5 个孔开口于前庭。</w:t>
            </w:r>
          </w:p>
          <w:p w14:paraId="1170C4A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2. 前庭（vestibule）　前庭位于骨迷路中部，后部有 5 个孔通 3 个半规管，前部借一大孔与耳蜗相通。前庭外侧壁有前庭窗和蜗窗，内侧壁为内耳道的底。</w:t>
            </w:r>
          </w:p>
          <w:p w14:paraId="6430CE3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3. 耳蜗（cochlea）　耳蜗形似蜗牛壳。蜗顶朝向前外，蜗底朝内耳道底，耳蜗由骨性蜗螺旋管围绕蜗轴卷曲约两周半构成。蜗轴向蜗螺旋管内发出骨螺旋板，并与膜迷路相接，将蜗螺旋管分为上下两条半管，上半为前庭阶，下半为鼓阶，上半管、下半管借蜗孔相通。前庭阶与前庭窗相接，被镫骨底封闭；鼓阶与蜗窗相接，被第二鼓膜封闭。前庭阶和鼓阶内均充满外淋巴。</w:t>
            </w:r>
          </w:p>
          <w:p w14:paraId="3E997441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（二）膜迷路</w:t>
            </w:r>
          </w:p>
          <w:p w14:paraId="093F0220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膜迷路（membranous labyrinth）位于骨迷路内，由后外向前内也分 3 部分，即膜半规管、椭圆囊和球囊、蜗管。</w:t>
            </w:r>
          </w:p>
          <w:p w14:paraId="48932588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1. 膜半规管（membranous semicircular ducts）　膜半规管位于骨半规管内，形态与骨半规管相似，在膜壶腹壁上有黏膜呈嵴状隆起的壶腹嵴，是位觉感受器，能感受旋转变速运动的刺激。</w:t>
            </w:r>
          </w:p>
          <w:p w14:paraId="51D6E308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2. 椭圆囊（utricle）和球囊（saccule）　它们位于前庭内。椭圆囊位于后上方，与膜半规管相通；球囊位于前下方，借连合管与蜗管相通，借椭圆球囊管与椭圆囊相通。</w:t>
            </w:r>
          </w:p>
          <w:p w14:paraId="467D1952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椭圆囊的底壁和球囊的前壁黏膜呈斑块状隆起，分别称椭圆囊斑和球囊斑，均为位觉感受器，感受直线变速运动的刺激。</w:t>
            </w:r>
          </w:p>
          <w:p w14:paraId="730FDEC6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3. 蜗管（cochlear duct）　蜗管位于蜗螺旋管内，其横切面呈三角形。其上壁为前庭膜，分隔前庭阶与蜗管；外侧壁为增厚的骨膜，有丰富的血管；下壁为基底膜（又称螺旋膜），与鼓阶相隔。在基底膜上有螺旋器，也称 Corti 器，为听觉感受器，可感受声波的刺激。</w:t>
            </w:r>
          </w:p>
          <w:p w14:paraId="50658D3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</w:p>
          <w:p w14:paraId="75D52252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49C6999C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通过教师讲解，了解中耳和内耳的基本理论知识。</w:t>
            </w:r>
          </w:p>
        </w:tc>
      </w:tr>
      <w:tr w14:paraId="1C4D727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757A8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课堂小结</w:t>
            </w:r>
          </w:p>
          <w:p w14:paraId="2D527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（3min）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1F5A11AB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【教师】回顾和总结本节课的知识点。</w:t>
            </w:r>
          </w:p>
          <w:p w14:paraId="2501CBF6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这节课我们一起学习了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中耳和内耳</w:t>
            </w: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，了解乳突窦和乳突小房内衬有由鼓室延续而来的黏膜，故中耳炎可蔓延到乳突小房，引起乳突小房炎。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66D5EEFC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2ACA747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0F859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作业布置（2min）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2ECA28F8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【教师】布置课后作业</w:t>
            </w:r>
          </w:p>
          <w:p w14:paraId="52936804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简述中耳的结构。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2EF9AA18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4A2ABBB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61E75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知识讲解</w:t>
            </w:r>
          </w:p>
          <w:p w14:paraId="619DB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（40min）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246420C3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color w:val="C00000"/>
                <w:sz w:val="24"/>
                <w:szCs w:val="24"/>
              </w:rPr>
              <w:t>展示感觉器标本模型</w:t>
            </w:r>
          </w:p>
          <w:p w14:paraId="55AF5EB6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皮肤（skin）覆盖于人体表面，是机体面积最大的器官，面积 1.2 ～ 2.0m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，平均厚度 1 ～ 4mm，借皮下组织与深部组织相连。皮肤有保护、感受刺激、调节体温、排泄和吸收等功能，当皮肤大面积受损时可危及生命。</w:t>
            </w:r>
          </w:p>
          <w:p w14:paraId="1AD405D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一、皮肤的微细结构</w:t>
            </w:r>
          </w:p>
          <w:p w14:paraId="78E715FC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皮肤分为浅层的表皮和深层的真皮，并借皮下组织与深部的结构相连。</w:t>
            </w:r>
          </w:p>
          <w:p w14:paraId="504FE5C9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（一）表皮</w:t>
            </w:r>
          </w:p>
          <w:p w14:paraId="2865B6A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表皮（epidermis）位于皮肤的浅层，由角化的复层鳞状上皮组成，有丰富的感觉神经末梢。表皮细胞分为两类：一类是角质形成细胞，构成表皮的主体；另一类是非角质形成细胞，数量少，散在分布。</w:t>
            </w:r>
          </w:p>
          <w:p w14:paraId="798FC8D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表皮由浅入深依次分为角质层、透明层、颗粒层、棘层和基底层。</w:t>
            </w:r>
          </w:p>
          <w:p w14:paraId="7D4D4D7C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（二）真皮</w:t>
            </w:r>
          </w:p>
          <w:p w14:paraId="38187DB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真皮（dermis）位于表皮深层，由致密结缔组织构成，可分为乳头层和网状层。</w:t>
            </w:r>
          </w:p>
          <w:p w14:paraId="328530D2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1. 乳头层　乳头层借基膜连于表皮，呈乳头状突向表皮。乳头内含有丰富的毛细血管和游离神经末梢、触觉小体等感受器。</w:t>
            </w:r>
          </w:p>
          <w:p w14:paraId="28A657F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2. 网状层　网状层位于乳头层深面，胶原纤维粗大交织成网。此层内含有较大的血管、淋巴管、神经，以及毛囊、皮脂腺、汗腺和环层小体。</w:t>
            </w:r>
          </w:p>
          <w:p w14:paraId="1CFF31EA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皮下组织即浅筋膜，由疏松结缔组织构成。皮下组织将皮肤与深部组织连接为一体，并使皮肤有一定的可动性，其厚度随年龄、性别和部位而异。皮下注射时，药物即注入此层，而皮内注射则是将药物注入真皮内。</w:t>
            </w:r>
          </w:p>
          <w:p w14:paraId="3916074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二、皮肤的附属器</w:t>
            </w:r>
          </w:p>
          <w:p w14:paraId="70A20E87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皮肤附属器有毛、皮脂腺、汗腺和指（趾）甲等，均由表皮衍生而来。</w:t>
            </w:r>
          </w:p>
          <w:p w14:paraId="075B6ED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（一）毛</w:t>
            </w:r>
          </w:p>
          <w:p w14:paraId="261B4AE6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除手掌和足底处外，体表皮肤均有毛分布。露于皮肤外的称毛干；埋于皮肤内的称毛根，毛根周围包有毛囊；毛根和毛囊的下端膨大，称毛球，为毛和毛囊的生长点。毛囊与皮肤表面的钝角侧，有一斜行的平滑肌束，称竖毛肌，连于毛囊和真皮乳头层，收缩时可使毛竖立，皮肤发生“鸡皮疙瘩”。</w:t>
            </w:r>
          </w:p>
          <w:p w14:paraId="43D33733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（二）皮脂腺</w:t>
            </w:r>
          </w:p>
          <w:p w14:paraId="13C4CCCE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皮脂腺位于毛囊和竖毛肌之间，其导管开口于毛囊。皮脂腺分泌皮脂，有柔润皮肤和保护毛发的作用。</w:t>
            </w:r>
          </w:p>
          <w:p w14:paraId="0414FF45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（三）汗腺</w:t>
            </w:r>
          </w:p>
          <w:p w14:paraId="5025B606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汗腺为弯曲的管状腺，分泌汗液，遍布于全身各处，以手掌、足底和腋窝最多。其分泌部位于真皮深层或皮下组织内，盘曲成团；导管部向上穿表皮，开口于皮肤的表面。汗液中除含有大量水分外，还含有极少量的钠、钾、尿素等固体物质。</w:t>
            </w:r>
          </w:p>
          <w:p w14:paraId="321C883C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汗液有湿润皮肤、调节体温、排泄废物的作用。</w:t>
            </w:r>
          </w:p>
          <w:p w14:paraId="70BE5AF4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在腋窝、会阴及肛门周围等处还有一种大汗腺，分泌物浓稠，经细菌分解后可产生特殊臭味。</w:t>
            </w:r>
          </w:p>
          <w:p w14:paraId="56DC8585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  <w:t>（四）指（趾）甲</w:t>
            </w:r>
          </w:p>
          <w:p w14:paraId="58268C8F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</w:rPr>
              <w:t>指（趾）甲位于手、足远节指（趾）的背面，由多层紧密排列的角化细胞组成。露在外面的称甲体；埋于皮肤内的称甲根；甲根深部的上皮为甲母质，是甲的生长点。甲体周缘的皮肤皱襞为甲襞，甲体与甲襞之间的沟为甲沟。</w:t>
            </w:r>
          </w:p>
          <w:p w14:paraId="6D330997">
            <w:pPr>
              <w:spacing w:line="360" w:lineRule="auto"/>
              <w:ind w:firstLine="44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46A8CBF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38135"/>
                <w:sz w:val="24"/>
                <w:szCs w:val="24"/>
              </w:rPr>
              <w:t>【学生】思考、讨论。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00167849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通过教师讲解，了解皮肤的基本理论知识。</w:t>
            </w:r>
          </w:p>
        </w:tc>
      </w:tr>
      <w:tr w14:paraId="4676FDD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1F005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课堂小结</w:t>
            </w:r>
          </w:p>
          <w:p w14:paraId="36B31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（3min）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76BFC002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【教师】回顾和总结本节课的知识点。</w:t>
            </w:r>
          </w:p>
          <w:p w14:paraId="46E96740">
            <w:pPr>
              <w:wordWrap w:val="0"/>
              <w:autoSpaceDE w:val="0"/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这节课我们一起学习了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皮肤</w:t>
            </w: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，了解皮下注射时，药物即注入浅筋膜层，而皮内注射则是将药物注入真皮内。</w:t>
            </w:r>
          </w:p>
          <w:p w14:paraId="3AFF31AA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48957104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6900460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single" w:color="4472C4" w:themeColor="accent5" w:sz="4" w:space="0"/>
              <w:left w:val="double" w:color="00B0F0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3D0DD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作业布置（2min）</w:t>
            </w:r>
          </w:p>
        </w:tc>
        <w:tc>
          <w:tcPr>
            <w:tcW w:w="7208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single" w:color="4472C4" w:themeColor="accent5" w:sz="4" w:space="0"/>
              <w:tl2br w:val="nil"/>
              <w:tr2bl w:val="nil"/>
            </w:tcBorders>
            <w:vAlign w:val="center"/>
          </w:tcPr>
          <w:p w14:paraId="2AD57D1F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color w:val="C00000"/>
                <w:sz w:val="24"/>
                <w:szCs w:val="24"/>
              </w:rPr>
              <w:t>【教师】布置课后作业</w:t>
            </w:r>
          </w:p>
          <w:p w14:paraId="237BF4B9">
            <w:pPr>
              <w:spacing w:line="360" w:lineRule="auto"/>
              <w:ind w:firstLine="440"/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 w:val="0"/>
                <w:sz w:val="24"/>
                <w:szCs w:val="24"/>
              </w:rPr>
              <w:t>简述皮肤的结构。</w:t>
            </w:r>
          </w:p>
        </w:tc>
        <w:tc>
          <w:tcPr>
            <w:tcW w:w="1696" w:type="dxa"/>
            <w:tcBorders>
              <w:top w:val="single" w:color="4472C4" w:themeColor="accent5" w:sz="4" w:space="0"/>
              <w:left w:val="single" w:color="4472C4" w:themeColor="accent5" w:sz="4" w:space="0"/>
              <w:bottom w:val="double" w:color="00B0F0" w:sz="4" w:space="0"/>
              <w:right w:val="double" w:color="00B0F0" w:sz="4" w:space="0"/>
              <w:tl2br w:val="nil"/>
              <w:tr2bl w:val="nil"/>
            </w:tcBorders>
            <w:vAlign w:val="center"/>
          </w:tcPr>
          <w:p w14:paraId="4B7C107A">
            <w:pPr>
              <w:spacing w:line="360" w:lineRule="auto"/>
              <w:ind w:firstLine="440"/>
              <w:rPr>
                <w:rFonts w:hint="eastAsia" w:ascii="宋体" w:hAnsi="宋体" w:eastAsia="宋体" w:cs="宋体"/>
                <w:b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sz w:val="24"/>
                <w:szCs w:val="24"/>
              </w:rPr>
              <w:t>通过课后练习，使学生巩固所学新知识</w:t>
            </w:r>
          </w:p>
        </w:tc>
      </w:tr>
      <w:tr w14:paraId="4CAB25A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1EA7C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教学反思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4339CA1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巧用启发思维，让学生能体会到举一反三，做到有所领悟和创新，掌握一定的训练规律。</w:t>
            </w:r>
          </w:p>
        </w:tc>
      </w:tr>
      <w:bookmarkEnd w:id="0"/>
    </w:tbl>
    <w:p w14:paraId="0A7A14D8"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 w:eastAsiaTheme="minorEastAsia"/>
          <w:b/>
          <w:bCs/>
          <w:color w:val="00B0F0"/>
          <w:sz w:val="28"/>
          <w:szCs w:val="28"/>
        </w:rPr>
      </w:pPr>
    </w:p>
    <w:p w14:paraId="2F6DFE8A">
      <w:pPr>
        <w:keepNext/>
        <w:keepLines/>
        <w:spacing w:before="260" w:after="260" w:line="416" w:lineRule="atLeast"/>
        <w:outlineLvl w:val="1"/>
        <w:rPr>
          <w:rFonts w:ascii="Times New Roman" w:hAnsi="Times New Roman" w:eastAsiaTheme="minorEastAsia"/>
          <w:b/>
          <w:bCs/>
          <w:color w:val="00B0F0"/>
          <w:sz w:val="28"/>
          <w:szCs w:val="28"/>
        </w:rPr>
      </w:pPr>
    </w:p>
    <w:sectPr>
      <w:pgSz w:w="11906" w:h="16838"/>
      <w:pgMar w:top="567" w:right="170" w:bottom="850" w:left="170" w:header="567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微软简老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FB622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00700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8A8CC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5629A">
    <w:pPr>
      <w:pStyle w:val="10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249555</wp:posOffset>
              </wp:positionH>
              <wp:positionV relativeFrom="paragraph">
                <wp:posOffset>5715</wp:posOffset>
              </wp:positionV>
              <wp:extent cx="6840220" cy="9972040"/>
              <wp:effectExtent l="6350" t="6350" r="11430" b="22860"/>
              <wp:wrapNone/>
              <wp:docPr id="8" name="矩形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3370" y="365760"/>
                        <a:ext cx="6840220" cy="99720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55000"/>
                        </a:srgbClr>
                      </a:solidFill>
                      <a:ln w="12700" cap="flat" cmpd="sng" algn="ctr">
                        <a:solidFill>
                          <a:srgbClr val="F2F2F2">
                            <a:lumMod val="9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9.65pt;margin-top:0.45pt;height:785.2pt;width:538.6pt;z-index:251661312;v-text-anchor:middle;mso-width-relative:page;mso-height-relative:page;" fillcolor="#FFFFFF" filled="t" stroked="t" coordsize="21600,21600" o:gfxdata="UEsDBAoAAAAAAIdO4kAAAAAAAAAAAAAAAAAEAAAAZHJzL1BLAwQUAAAACACHTuJAUOSuGNgAAAAJ&#10;AQAADwAAAGRycy9kb3ducmV2LnhtbE2PzU7DMBCE70h9B2srcaOOiRraEKcHJJA4cKCUnjfx5keN&#10;11HsNuXtcU9wm9WMZr4tdlc7iAtNvnesQa0SEMS1Mz23Gg5frw8bED4gGxwck4Yf8rArF3cF5sbN&#10;/EmXfWhFLGGfo4YuhDGX0tcdWfQrNxJHr3GTxRDPqZVmwjmW20E+JkkmLfYcFzoc6aWj+rQ/Ww3v&#10;/fEwNkdWzVz1mH2fPt6yTdD6fqmSZxCBruEvDDf8iA5lZKrcmY0Xg4Z0m8akhi2Im6tUtgZRRbV+&#10;UinIspD/Pyh/AVBLAwQUAAAACACHTuJAgLv3D5sCAABQBQAADgAAAGRycy9lMm9Eb2MueG1srVRL&#10;btswEN0X6B0I7hvJij+xETkwYrgokDYB0qJrmqIsAfyVpD/pZQp010P0OEWv0UdKiZO0iyxqA9QM&#10;Z/iG82aG5xcHJclOON8aXdLBSU6J0NxUrd6U9NPH1ZszSnxgumLSaFHSO+Hpxfz1q/O9nYnCNEZW&#10;whGAaD/b25I2IdhZlnneCMX8ibFCw1gbp1iA6jZZ5dge6EpmRZ6Ps71xlXWGC++xu+yMtEd0LwE0&#10;dd1ysTR8q4QOHaoTkgWk5JvWejpPt61rwcN1XXsRiCwpMg1pRRDI67hm83M22zhmm5b3V2AvucKz&#10;nBRrNYI+QC1ZYGTr2r+gVMud8aYOJ9yorEskMYIsBvkzbm4bZkXKBVR7+0C6/3+w/MPuxpG2KinK&#10;rplCwX9/+/Hr53dyFrnZWz+Dy629cb3mIcZED7VT8YsUyKGkxfT0dAJS70p6Oh5Nxj2z4hAIh3l8&#10;NsyLAnYOh+l0UuTD5JEdgazz4a0wikShpA6lS4yy3ZUPCA7Xe5cY1xvZVqtWyqS4zfpSOrJjKPMq&#10;/bqz0jas2x2N8vw+pO/cE+YTHKnJHjNRTOBKOEN31+gqiMqCIa83lDC5wdjw4FKAJ6d72P4WxQr/&#10;5CS36r2puu3pS64R81wy33RHUoyuUVUbMHuyVSgX0nlISOrIgkj93rMVK9fVKkprU92hzs50A+At&#10;X7UIcsV8uGEOHY988SaEayy1NCDB9BIljXFf/7Uf/dGIsFKyxwSBoC9b5gQl8p1Gi04HQxSZhKQM&#10;R6g5Je6xZf3Yorfq0qB6A7w+licx+gd5L9bOqM94OhYxKkxMc8TuStErl6GbbDw+XCwWyQ1jZlm4&#10;0reWR/DIkzaLbTB1m7rqyA7aISoYtNQY/aMQJ/mxnryOD+H8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FDkrhjYAAAACQEAAA8AAAAAAAAAAQAgAAAAIgAAAGRycy9kb3ducmV2LnhtbFBLAQIUABQA&#10;AAAIAIdO4kCAu/cPmwIAAFAFAAAOAAAAAAAAAAEAIAAAACcBAABkcnMvZTJvRG9jLnhtbFBLBQYA&#10;AAAABgAGAFkBAAA0BgAAAAA=&#10;">
              <v:fill on="t" opacity="36044f" focussize="0,0"/>
              <v:stroke weight="1pt" color="#E6E6E6" miterlimit="8" joinstyle="miter"/>
              <v:imagedata o:title=""/>
              <o:lock v:ext="edit" aspectratio="f"/>
            </v:rect>
          </w:pict>
        </mc:Fallback>
      </mc:AlternateConten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-113030</wp:posOffset>
          </wp:positionH>
          <wp:positionV relativeFrom="paragraph">
            <wp:posOffset>-350520</wp:posOffset>
          </wp:positionV>
          <wp:extent cx="7559040" cy="10692130"/>
          <wp:effectExtent l="0" t="0" r="3810" b="13970"/>
          <wp:wrapNone/>
          <wp:docPr id="7" name="图片 7" descr="医学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医学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69DA9A">
    <w:pPr>
      <w:pStyle w:val="10"/>
      <w:pBdr>
        <w:bottom w:val="none" w:color="auto" w:sz="0" w:space="1"/>
      </w:pBdr>
    </w:pPr>
    <w:r>
      <w:rPr>
        <w:rFonts w:hint="eastAsia"/>
      </w:rPr>
      <w:drawing>
        <wp:inline distT="0" distB="0" distL="114300" distR="114300">
          <wp:extent cx="6614160" cy="9355455"/>
          <wp:effectExtent l="0" t="0" r="15240" b="17145"/>
          <wp:docPr id="6" name="图片 6" descr="医学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医学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4160" cy="935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EFBDD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5C809">
    <w:pPr>
      <w:pStyle w:val="10"/>
      <w:pBdr>
        <w:bottom w:val="none" w:color="auto" w:sz="0" w:space="1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-115570</wp:posOffset>
          </wp:positionH>
          <wp:positionV relativeFrom="paragraph">
            <wp:posOffset>-367030</wp:posOffset>
          </wp:positionV>
          <wp:extent cx="7559040" cy="10692130"/>
          <wp:effectExtent l="0" t="0" r="3810" b="13970"/>
          <wp:wrapNone/>
          <wp:docPr id="3" name="图片 3" descr="医学封面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医学封面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ZDJhYjUyNWMyYTM4YmY1YzczYWE4MTIwOWE1NDY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5B6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A5F0E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4651A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61B5C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0428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95461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3289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27B08F2"/>
    <w:rsid w:val="049A781C"/>
    <w:rsid w:val="05C76C5D"/>
    <w:rsid w:val="066F2503"/>
    <w:rsid w:val="08641C56"/>
    <w:rsid w:val="0AC91BFE"/>
    <w:rsid w:val="0E3C75E8"/>
    <w:rsid w:val="12FA6FB1"/>
    <w:rsid w:val="15F15AC1"/>
    <w:rsid w:val="1B0F64F5"/>
    <w:rsid w:val="1BAA0BEC"/>
    <w:rsid w:val="1C812CD0"/>
    <w:rsid w:val="1FB84519"/>
    <w:rsid w:val="20F13C9B"/>
    <w:rsid w:val="238347DF"/>
    <w:rsid w:val="24B477DD"/>
    <w:rsid w:val="26120603"/>
    <w:rsid w:val="278141AB"/>
    <w:rsid w:val="28B578A7"/>
    <w:rsid w:val="28D77141"/>
    <w:rsid w:val="29EE1BD8"/>
    <w:rsid w:val="2D39592C"/>
    <w:rsid w:val="322A12C5"/>
    <w:rsid w:val="32B14729"/>
    <w:rsid w:val="34AD60CD"/>
    <w:rsid w:val="34B67F89"/>
    <w:rsid w:val="368D542E"/>
    <w:rsid w:val="3878363A"/>
    <w:rsid w:val="388B134B"/>
    <w:rsid w:val="3D171177"/>
    <w:rsid w:val="436C72A2"/>
    <w:rsid w:val="43CD7F64"/>
    <w:rsid w:val="44B33A23"/>
    <w:rsid w:val="45C91BBA"/>
    <w:rsid w:val="49F8701E"/>
    <w:rsid w:val="4BC6625C"/>
    <w:rsid w:val="4C7F0E23"/>
    <w:rsid w:val="53F046E7"/>
    <w:rsid w:val="5A7C6694"/>
    <w:rsid w:val="5C3F0EE2"/>
    <w:rsid w:val="600E33E1"/>
    <w:rsid w:val="622A303A"/>
    <w:rsid w:val="723010AC"/>
    <w:rsid w:val="76BF021D"/>
    <w:rsid w:val="7E1F5A45"/>
    <w:rsid w:val="7E5D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qFormat/>
    <w:uiPriority w:val="0"/>
    <w:pPr>
      <w:keepNext/>
      <w:keepLines/>
      <w:spacing w:beforeLines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9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10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5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6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8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8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4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931F85-D981-4BF3-B9B1-40948366BC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3018</Words>
  <Characters>3241</Characters>
  <Lines>25</Lines>
  <Paragraphs>7</Paragraphs>
  <TotalTime>0</TotalTime>
  <ScaleCrop>false</ScaleCrop>
  <LinksUpToDate>false</LinksUpToDate>
  <CharactersWithSpaces>3333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六月</cp:lastModifiedBy>
  <dcterms:modified xsi:type="dcterms:W3CDTF">2025-09-10T03:00:16Z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9CF064706575407BA425284AFB6A880D_13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